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1934" w14:textId="77777777" w:rsidR="00ED5ABB" w:rsidRDefault="00ED5ABB" w:rsidP="00ED5ABB">
      <w:pPr>
        <w:spacing w:before="61" w:after="0" w:line="240" w:lineRule="auto"/>
        <w:ind w:left="3151" w:right="-20"/>
        <w:jc w:val="center"/>
        <w:rPr>
          <w:rFonts w:ascii="MercuryDisplay-Roman" w:eastAsia="MercuryDisplay-Roman" w:hAnsi="MercuryDisplay-Roman" w:cs="MercuryDisplay-Roman"/>
          <w:sz w:val="24"/>
          <w:szCs w:val="24"/>
        </w:rPr>
      </w:pPr>
      <w:bookmarkStart w:id="0" w:name="_Hlk115780752"/>
      <w:r>
        <w:rPr>
          <w:rFonts w:ascii="MercuryDisplay-Italic" w:eastAsia="MercuryDisplay-Italic" w:hAnsi="MercuryDisplay-Italic" w:cs="MercuryDisplay-Italic"/>
          <w:noProof/>
          <w:sz w:val="12"/>
          <w:szCs w:val="12"/>
        </w:rPr>
        <w:drawing>
          <wp:anchor distT="0" distB="0" distL="114300" distR="114300" simplePos="0" relativeHeight="251659264" behindDoc="0" locked="0" layoutInCell="1" allowOverlap="1" wp14:anchorId="6E5FE139" wp14:editId="6F504AD4">
            <wp:simplePos x="0" y="0"/>
            <wp:positionH relativeFrom="column">
              <wp:posOffset>1014730</wp:posOffset>
            </wp:positionH>
            <wp:positionV relativeFrom="paragraph">
              <wp:posOffset>-109855</wp:posOffset>
            </wp:positionV>
            <wp:extent cx="1957070" cy="68669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7070" cy="686691"/>
                    </a:xfrm>
                    <a:prstGeom prst="rect">
                      <a:avLst/>
                    </a:prstGeom>
                  </pic:spPr>
                </pic:pic>
              </a:graphicData>
            </a:graphic>
            <wp14:sizeRelH relativeFrom="page">
              <wp14:pctWidth>0</wp14:pctWidth>
            </wp14:sizeRelH>
            <wp14:sizeRelV relativeFrom="page">
              <wp14:pctHeight>0</wp14:pctHeight>
            </wp14:sizeRelV>
          </wp:anchor>
        </w:drawing>
      </w:r>
      <w:r>
        <w:rPr>
          <w:rFonts w:ascii="MercuryDisplay-Roman" w:eastAsia="MercuryDisplay-Roman" w:hAnsi="MercuryDisplay-Roman" w:cs="MercuryDisplay-Roman"/>
          <w:color w:val="231F20"/>
          <w:spacing w:val="2"/>
          <w:sz w:val="24"/>
          <w:szCs w:val="24"/>
        </w:rPr>
        <w:t>College of Arts and Sciences</w:t>
      </w:r>
    </w:p>
    <w:p w14:paraId="5718D2E8" w14:textId="77777777" w:rsidR="00ED5ABB" w:rsidRPr="00132B6C" w:rsidRDefault="00ED5ABB" w:rsidP="00ED5ABB">
      <w:pPr>
        <w:spacing w:after="0" w:line="194" w:lineRule="exact"/>
        <w:ind w:left="3151" w:right="-20"/>
        <w:jc w:val="center"/>
        <w:rPr>
          <w:rFonts w:ascii="MercuryDisplay-Italic" w:eastAsia="MercuryDisplay-Italic" w:hAnsi="MercuryDisplay-Italic" w:cs="MercuryDisplay-Italic"/>
          <w:sz w:val="18"/>
          <w:szCs w:val="18"/>
        </w:rPr>
      </w:pPr>
      <w:r>
        <w:rPr>
          <w:rFonts w:ascii="MercuryDisplay-Italic" w:eastAsia="MercuryDisplay-Italic" w:hAnsi="MercuryDisplay-Italic" w:cs="MercuryDisplay-Italic"/>
          <w:color w:val="005DAA"/>
          <w:spacing w:val="-2"/>
          <w:sz w:val="18"/>
          <w:szCs w:val="18"/>
        </w:rPr>
        <w:t>Office of the Dean</w:t>
      </w:r>
    </w:p>
    <w:bookmarkEnd w:id="0"/>
    <w:p w14:paraId="693FABBB" w14:textId="77777777" w:rsidR="00ED5ABB" w:rsidRDefault="00ED5ABB"/>
    <w:p w14:paraId="46C0BC6A" w14:textId="77777777" w:rsidR="00ED5ABB" w:rsidRDefault="00ED5ABB"/>
    <w:p w14:paraId="22A5A303" w14:textId="5F6F85AE" w:rsidR="00907EE6" w:rsidRDefault="00907EE6" w:rsidP="00907EE6">
      <w:pPr>
        <w:spacing w:after="0"/>
        <w:jc w:val="center"/>
        <w:rPr>
          <w:rFonts w:cstheme="minorHAnsi"/>
          <w:b/>
          <w:bCs/>
          <w:sz w:val="28"/>
          <w:szCs w:val="28"/>
          <w:u w:val="single"/>
        </w:rPr>
      </w:pPr>
      <w:r w:rsidRPr="00907EE6">
        <w:rPr>
          <w:rFonts w:cstheme="minorHAnsi"/>
          <w:b/>
          <w:bCs/>
          <w:sz w:val="28"/>
          <w:szCs w:val="28"/>
          <w:u w:val="single"/>
        </w:rPr>
        <w:t xml:space="preserve">Faculty Teaching Release </w:t>
      </w:r>
      <w:r w:rsidR="00734310">
        <w:rPr>
          <w:rFonts w:cstheme="minorHAnsi"/>
          <w:b/>
          <w:bCs/>
          <w:sz w:val="28"/>
          <w:szCs w:val="28"/>
          <w:u w:val="single"/>
        </w:rPr>
        <w:t>Guidelines</w:t>
      </w:r>
    </w:p>
    <w:p w14:paraId="2BDDE2C5" w14:textId="77777777" w:rsidR="00907EE6" w:rsidRPr="00907EE6" w:rsidRDefault="00907EE6" w:rsidP="00907EE6">
      <w:pPr>
        <w:spacing w:after="0"/>
        <w:rPr>
          <w:rFonts w:cstheme="minorHAnsi"/>
          <w:b/>
          <w:bCs/>
          <w:sz w:val="28"/>
          <w:szCs w:val="28"/>
          <w:u w:val="single"/>
        </w:rPr>
      </w:pPr>
    </w:p>
    <w:p w14:paraId="2A678047" w14:textId="5468488A" w:rsidR="00907EE6" w:rsidRDefault="00907EE6" w:rsidP="00907EE6">
      <w:pPr>
        <w:spacing w:after="0"/>
        <w:rPr>
          <w:rFonts w:cstheme="minorHAnsi"/>
          <w:b/>
          <w:bCs/>
          <w:u w:val="single"/>
        </w:rPr>
      </w:pPr>
      <w:r w:rsidRPr="00907EE6">
        <w:rPr>
          <w:rFonts w:cstheme="minorHAnsi"/>
          <w:b/>
          <w:bCs/>
          <w:u w:val="single"/>
        </w:rPr>
        <w:t xml:space="preserve">Course </w:t>
      </w:r>
      <w:r w:rsidR="00734310" w:rsidRPr="00907EE6">
        <w:rPr>
          <w:rFonts w:cstheme="minorHAnsi"/>
          <w:b/>
          <w:bCs/>
          <w:u w:val="single"/>
        </w:rPr>
        <w:t>Buyouts</w:t>
      </w:r>
    </w:p>
    <w:p w14:paraId="77058FB2" w14:textId="77777777" w:rsidR="00907EE6" w:rsidRPr="00907EE6" w:rsidRDefault="00907EE6" w:rsidP="00907EE6">
      <w:pPr>
        <w:spacing w:after="0"/>
        <w:rPr>
          <w:rFonts w:cstheme="minorHAnsi"/>
          <w:b/>
          <w:bCs/>
          <w:u w:val="single"/>
        </w:rPr>
      </w:pPr>
    </w:p>
    <w:p w14:paraId="5FB0E0DC" w14:textId="2B668D36" w:rsidR="00907EE6" w:rsidRDefault="00907EE6" w:rsidP="00907EE6">
      <w:pPr>
        <w:spacing w:after="0"/>
        <w:rPr>
          <w:rFonts w:cstheme="minorHAnsi"/>
        </w:rPr>
      </w:pPr>
      <w:r w:rsidRPr="00907EE6">
        <w:rPr>
          <w:rFonts w:cstheme="minorHAnsi"/>
        </w:rPr>
        <w:t xml:space="preserve">Faculty members may, upon approval of their chair and the dean of the college, use funds from external grants to buy-out some of their teaching.  </w:t>
      </w:r>
      <w:r w:rsidRPr="007C2997">
        <w:rPr>
          <w:rFonts w:cstheme="minorHAnsi"/>
          <w:b/>
          <w:bCs/>
        </w:rPr>
        <w:t>The buy-out rate per three credit hour course shall be 17 percent of the academic year salary unless the granting agency prohibits this or otherwise has a cap.</w:t>
      </w:r>
      <w:r w:rsidRPr="00907EE6">
        <w:rPr>
          <w:rFonts w:cstheme="minorHAnsi"/>
        </w:rPr>
        <w:t>  The cost of lost instruction, if any, will be charged to salary savings resulting from the grant buy-out.  Faculty can submit a Course Buy-Out Request by submitting this </w:t>
      </w:r>
      <w:hyperlink r:id="rId6" w:history="1">
        <w:r w:rsidRPr="00907EE6">
          <w:rPr>
            <w:rStyle w:val="Hyperlink"/>
            <w:rFonts w:cstheme="minorHAnsi"/>
            <w:u w:val="none"/>
          </w:rPr>
          <w:t>form.</w:t>
        </w:r>
      </w:hyperlink>
    </w:p>
    <w:p w14:paraId="184419AD" w14:textId="77777777" w:rsidR="00907EE6" w:rsidRPr="00907EE6" w:rsidRDefault="00907EE6" w:rsidP="00907EE6">
      <w:pPr>
        <w:spacing w:after="0"/>
        <w:rPr>
          <w:rFonts w:cstheme="minorHAnsi"/>
        </w:rPr>
      </w:pPr>
    </w:p>
    <w:p w14:paraId="1FAF3330" w14:textId="77777777" w:rsidR="00907EE6" w:rsidRPr="00907EE6" w:rsidRDefault="00907EE6" w:rsidP="00907EE6">
      <w:pPr>
        <w:spacing w:after="0"/>
        <w:rPr>
          <w:rFonts w:cstheme="minorHAnsi"/>
          <w:b/>
          <w:bCs/>
          <w:u w:val="single"/>
        </w:rPr>
      </w:pPr>
      <w:r w:rsidRPr="00907EE6">
        <w:rPr>
          <w:rFonts w:cstheme="minorHAnsi"/>
          <w:b/>
          <w:bCs/>
          <w:u w:val="single"/>
        </w:rPr>
        <w:t>Assignments to External Units to the College</w:t>
      </w:r>
    </w:p>
    <w:p w14:paraId="1F4B750F" w14:textId="0799B926" w:rsidR="00907EE6" w:rsidRDefault="00907EE6" w:rsidP="00907EE6">
      <w:pPr>
        <w:spacing w:after="0"/>
        <w:rPr>
          <w:rFonts w:cstheme="minorHAnsi"/>
        </w:rPr>
      </w:pPr>
      <w:r w:rsidRPr="00907EE6">
        <w:rPr>
          <w:rFonts w:cstheme="minorHAnsi"/>
        </w:rPr>
        <w:t>The chair and the dean of the college must approve all administrative assignments of faculty members to units outside of the college.  If a faculty member has an administrative appointment in a unit external to the college, the external unit will be charged a percentage of the faculty member's salary that is based on the proportion of the faculty member's effort to the external unit.  The chair and the dean of the college along with the head of the external unit will mutually agree on the percentage of the administrative assignment.</w:t>
      </w:r>
    </w:p>
    <w:p w14:paraId="2F609C3B" w14:textId="77777777" w:rsidR="00907EE6" w:rsidRPr="00907EE6" w:rsidRDefault="00907EE6" w:rsidP="00907EE6">
      <w:pPr>
        <w:spacing w:after="0"/>
        <w:rPr>
          <w:rFonts w:cstheme="minorHAnsi"/>
        </w:rPr>
      </w:pPr>
    </w:p>
    <w:p w14:paraId="2CD671E7" w14:textId="77777777" w:rsidR="00907EE6" w:rsidRPr="00907EE6" w:rsidRDefault="00907EE6" w:rsidP="00907EE6">
      <w:pPr>
        <w:spacing w:after="0"/>
        <w:rPr>
          <w:rFonts w:cstheme="minorHAnsi"/>
          <w:b/>
          <w:bCs/>
          <w:u w:val="single"/>
        </w:rPr>
      </w:pPr>
      <w:r w:rsidRPr="00907EE6">
        <w:rPr>
          <w:rFonts w:cstheme="minorHAnsi"/>
          <w:b/>
          <w:bCs/>
          <w:u w:val="single"/>
        </w:rPr>
        <w:t>Teaching Release for Probationary RTS Faculty</w:t>
      </w:r>
    </w:p>
    <w:p w14:paraId="39DC8043" w14:textId="21318A05" w:rsidR="00907EE6" w:rsidRDefault="00907EE6" w:rsidP="00907EE6">
      <w:pPr>
        <w:spacing w:after="0"/>
        <w:rPr>
          <w:rFonts w:cstheme="minorHAnsi"/>
        </w:rPr>
      </w:pPr>
      <w:r w:rsidRPr="00907EE6">
        <w:rPr>
          <w:rFonts w:cstheme="minorHAnsi"/>
        </w:rPr>
        <w:t xml:space="preserve">Pending a successful third-year progress review, all probationary Regular Title Series faculty are eligible for a one-semester teaching release in their fourth year of probation. If approved, their teaching and service effort will be reassigned to research effort for the semester. Faculty members are required, however, to continue serving on student committees.  The teaching release is offered so that probationary faculty may focus on their research responsibilities in preparation for their tenure and promotion review.  </w:t>
      </w:r>
      <w:r w:rsidR="007C2997">
        <w:rPr>
          <w:rFonts w:cstheme="minorHAnsi"/>
        </w:rPr>
        <w:t xml:space="preserve"> To apply, please see the instructions below.</w:t>
      </w:r>
    </w:p>
    <w:p w14:paraId="059B1B14" w14:textId="77777777" w:rsidR="00907EE6" w:rsidRPr="00907EE6" w:rsidRDefault="00907EE6" w:rsidP="00907EE6">
      <w:pPr>
        <w:spacing w:after="0"/>
        <w:rPr>
          <w:rFonts w:cstheme="minorHAnsi"/>
        </w:rPr>
      </w:pPr>
    </w:p>
    <w:p w14:paraId="5B315FE8" w14:textId="77777777" w:rsidR="00907EE6" w:rsidRPr="00907EE6" w:rsidRDefault="00907EE6" w:rsidP="00907EE6">
      <w:pPr>
        <w:spacing w:after="0"/>
        <w:rPr>
          <w:rFonts w:cstheme="minorHAnsi"/>
          <w:b/>
          <w:bCs/>
          <w:u w:val="single"/>
        </w:rPr>
      </w:pPr>
      <w:r w:rsidRPr="00907EE6">
        <w:rPr>
          <w:rFonts w:cstheme="minorHAnsi"/>
          <w:b/>
          <w:bCs/>
          <w:u w:val="single"/>
        </w:rPr>
        <w:t>Post-tenure Teaching Release (RTS-faculty)</w:t>
      </w:r>
    </w:p>
    <w:p w14:paraId="103931C2" w14:textId="43E9D1EE" w:rsidR="00907EE6" w:rsidRDefault="00907EE6" w:rsidP="00907EE6">
      <w:pPr>
        <w:spacing w:after="0"/>
        <w:rPr>
          <w:rFonts w:cstheme="minorHAnsi"/>
        </w:rPr>
      </w:pPr>
      <w:r w:rsidRPr="00907EE6">
        <w:rPr>
          <w:rFonts w:cstheme="minorHAnsi"/>
        </w:rPr>
        <w:t>The College of Arts and Sciences expect that all tenure stream faculty will achieve the rank of full professor within seven to eight years of promotion to associate professor. The College recognizes that for some faculty there will be circumstances that will require variations (e.g., becoming a parent of a child or assuming significant responsibilities for the care of a relative or domestic partner).</w:t>
      </w:r>
    </w:p>
    <w:p w14:paraId="7C2774E5" w14:textId="77777777" w:rsidR="00907EE6" w:rsidRPr="00907EE6" w:rsidRDefault="00907EE6" w:rsidP="00907EE6">
      <w:pPr>
        <w:spacing w:after="0"/>
        <w:rPr>
          <w:rFonts w:cstheme="minorHAnsi"/>
        </w:rPr>
      </w:pPr>
    </w:p>
    <w:p w14:paraId="7D369738" w14:textId="7393BE7F" w:rsidR="00907EE6" w:rsidRDefault="00907EE6" w:rsidP="00907EE6">
      <w:pPr>
        <w:spacing w:after="0"/>
        <w:rPr>
          <w:rFonts w:cstheme="minorHAnsi"/>
        </w:rPr>
      </w:pPr>
      <w:r w:rsidRPr="00907EE6">
        <w:rPr>
          <w:rFonts w:cstheme="minorHAnsi"/>
        </w:rPr>
        <w:t xml:space="preserve">In order to support faculty progress towards promotion, the College offers a one-course reduction during the third- or </w:t>
      </w:r>
      <w:proofErr w:type="gramStart"/>
      <w:r w:rsidRPr="00907EE6">
        <w:rPr>
          <w:rFonts w:cstheme="minorHAnsi"/>
        </w:rPr>
        <w:t>fourth-year</w:t>
      </w:r>
      <w:proofErr w:type="gramEnd"/>
      <w:r w:rsidRPr="00907EE6">
        <w:rPr>
          <w:rFonts w:cstheme="minorHAnsi"/>
        </w:rPr>
        <w:t xml:space="preserve"> after tenure to all regular title series associate professors who were promoted from assistant to associate professor at UK, provided that they have provided continuous service since the receipt of tenure. The course reduction cannot fall in a semester immediately following or preceding a semester of sabbatical leave. The one-course reduction is subject to the approval of the A&amp;S Dean's Office and in consultation with the department chair. </w:t>
      </w:r>
      <w:r w:rsidR="007C2997">
        <w:rPr>
          <w:rFonts w:cstheme="minorHAnsi"/>
        </w:rPr>
        <w:t xml:space="preserve"> To apply, please see the instructions below.</w:t>
      </w:r>
    </w:p>
    <w:p w14:paraId="51201D4B" w14:textId="77777777" w:rsidR="00907EE6" w:rsidRPr="00907EE6" w:rsidRDefault="00907EE6" w:rsidP="00907EE6">
      <w:pPr>
        <w:spacing w:after="0"/>
        <w:rPr>
          <w:rFonts w:cstheme="minorHAnsi"/>
        </w:rPr>
      </w:pPr>
    </w:p>
    <w:p w14:paraId="325444F1" w14:textId="77777777" w:rsidR="00907EE6" w:rsidRPr="00907EE6" w:rsidRDefault="00907EE6" w:rsidP="00907EE6">
      <w:pPr>
        <w:spacing w:after="0"/>
        <w:rPr>
          <w:rFonts w:cstheme="minorHAnsi"/>
          <w:b/>
          <w:bCs/>
          <w:u w:val="single"/>
        </w:rPr>
      </w:pPr>
      <w:r w:rsidRPr="00907EE6">
        <w:rPr>
          <w:rFonts w:cstheme="minorHAnsi"/>
          <w:b/>
          <w:bCs/>
          <w:u w:val="single"/>
        </w:rPr>
        <w:t>Lecturer Periodic Course Reduction Associated with Professional Development Opportunities</w:t>
      </w:r>
    </w:p>
    <w:p w14:paraId="65E5A64B" w14:textId="352CC3D6" w:rsidR="00907EE6" w:rsidRDefault="00907EE6" w:rsidP="00907EE6">
      <w:pPr>
        <w:spacing w:after="0"/>
        <w:rPr>
          <w:rFonts w:cstheme="minorHAnsi"/>
        </w:rPr>
      </w:pPr>
      <w:r w:rsidRPr="00907EE6">
        <w:rPr>
          <w:rFonts w:cstheme="minorHAnsi"/>
        </w:rPr>
        <w:t>As detailed in </w:t>
      </w:r>
      <w:hyperlink r:id="rId7" w:history="1">
        <w:r w:rsidRPr="00907EE6">
          <w:rPr>
            <w:rStyle w:val="Hyperlink"/>
            <w:rFonts w:cstheme="minorHAnsi"/>
            <w:u w:val="none"/>
          </w:rPr>
          <w:t>AR2-9</w:t>
        </w:r>
      </w:hyperlink>
      <w:r w:rsidRPr="00907EE6">
        <w:rPr>
          <w:rFonts w:cstheme="minorHAnsi"/>
        </w:rPr>
        <w:t xml:space="preserve">, Lecturer Series faculty employees are eligible to apply for a one-year course reduction, equivalent to six undergraduate credit hours of teaching, after six years of continuous service. The two-course reduction enables Lecturers to devote time to professional development </w:t>
      </w:r>
      <w:proofErr w:type="gramStart"/>
      <w:r w:rsidRPr="00907EE6">
        <w:rPr>
          <w:rFonts w:cstheme="minorHAnsi"/>
        </w:rPr>
        <w:t>in order to</w:t>
      </w:r>
      <w:proofErr w:type="gramEnd"/>
      <w:r w:rsidRPr="00907EE6">
        <w:rPr>
          <w:rFonts w:cstheme="minorHAnsi"/>
        </w:rPr>
        <w:t xml:space="preserve"> enhance the faculty employee's service to the University. Prior to applying for the Periodic Course Reduction, the Lecturer should first confirm with their Department Chair that they are eligible. </w:t>
      </w:r>
      <w:proofErr w:type="gramStart"/>
      <w:r w:rsidRPr="00907EE6">
        <w:rPr>
          <w:rFonts w:cstheme="minorHAnsi"/>
        </w:rPr>
        <w:t>In order to</w:t>
      </w:r>
      <w:proofErr w:type="gramEnd"/>
      <w:r w:rsidRPr="00907EE6">
        <w:rPr>
          <w:rFonts w:cstheme="minorHAnsi"/>
        </w:rPr>
        <w:t xml:space="preserve"> apply, the Lecturer should submit a </w:t>
      </w:r>
      <w:r w:rsidR="006604B2">
        <w:rPr>
          <w:rFonts w:cstheme="minorHAnsi"/>
        </w:rPr>
        <w:t>proposal</w:t>
      </w:r>
      <w:r w:rsidR="006604B2" w:rsidRPr="00907EE6">
        <w:rPr>
          <w:rFonts w:cstheme="minorHAnsi"/>
        </w:rPr>
        <w:t xml:space="preserve"> </w:t>
      </w:r>
      <w:r w:rsidRPr="00907EE6">
        <w:rPr>
          <w:rFonts w:cstheme="minorHAnsi"/>
        </w:rPr>
        <w:t xml:space="preserve">detailing the professional development activities they intend to pursue to their Department Chair during the academic year prior to the desired course reduction. </w:t>
      </w:r>
      <w:r w:rsidR="007C2997">
        <w:rPr>
          <w:rFonts w:cstheme="minorHAnsi"/>
        </w:rPr>
        <w:t>To apply, please see the instructions below.</w:t>
      </w:r>
    </w:p>
    <w:p w14:paraId="6BCA8487" w14:textId="534B2953" w:rsidR="007C2997" w:rsidRDefault="007C2997" w:rsidP="00907EE6">
      <w:pPr>
        <w:spacing w:after="0"/>
        <w:rPr>
          <w:rFonts w:cstheme="minorHAnsi"/>
        </w:rPr>
      </w:pPr>
    </w:p>
    <w:p w14:paraId="31047AFA" w14:textId="50DDF727" w:rsidR="007C2997" w:rsidRDefault="007C2997" w:rsidP="007C2997">
      <w:r>
        <w:rPr>
          <w:b/>
          <w:bCs/>
          <w:u w:val="single"/>
        </w:rPr>
        <w:t xml:space="preserve">Teaching Release Request Application </w:t>
      </w:r>
      <w:r w:rsidRPr="00A56978">
        <w:rPr>
          <w:b/>
          <w:bCs/>
          <w:u w:val="single"/>
        </w:rPr>
        <w:t>Instructions:</w:t>
      </w:r>
      <w:r>
        <w:t xml:space="preserve"> </w:t>
      </w:r>
      <w:r>
        <w:br/>
        <w:t xml:space="preserve">To apply for a teaching release, please complete Release Request Form and </w:t>
      </w:r>
      <w:r w:rsidRPr="00A56978">
        <w:rPr>
          <w:b/>
          <w:bCs/>
        </w:rPr>
        <w:t>attach to it a two-page proposal.</w:t>
      </w:r>
      <w:r>
        <w:t xml:space="preserve"> The proposal guidelines vary depending on the faculty member’s status. RTS Assistant Faculty should submit a research proposal detailing the scholarly activities that will be undertaken during the one-semester teaching release. RTS Associate Professors should submit a proposal that includes a research agenda, a proposed timeline for promotion to Full Professor, and the progress made since the receipt of tenure. Lecturers should submit a proposal detailing the professional development activities they will undertake with their teaching release. </w:t>
      </w:r>
    </w:p>
    <w:p w14:paraId="13EE9FD1" w14:textId="6E5F7745" w:rsidR="007C2997" w:rsidRDefault="007C2997" w:rsidP="007C2997">
      <w:r w:rsidRPr="00A56978">
        <w:rPr>
          <w:b/>
          <w:bCs/>
          <w:u w:val="single"/>
        </w:rPr>
        <w:t>Deadline:</w:t>
      </w:r>
      <w:r>
        <w:t xml:space="preserve"> </w:t>
      </w:r>
      <w:r>
        <w:br/>
        <w:t xml:space="preserve">Applications should be submitted by the chair to the Associate Dean of Faculty by </w:t>
      </w:r>
      <w:r w:rsidRPr="00A56978">
        <w:rPr>
          <w:b/>
          <w:bCs/>
        </w:rPr>
        <w:t>April 15</w:t>
      </w:r>
      <w:r w:rsidRPr="00A56978">
        <w:rPr>
          <w:b/>
          <w:bCs/>
          <w:vertAlign w:val="superscript"/>
        </w:rPr>
        <w:t>th</w:t>
      </w:r>
      <w:r>
        <w:t xml:space="preserve"> for the following academic year. Proposals will be evaluated on a rolling basis, and we encourage early submission. Note: </w:t>
      </w:r>
      <w:bookmarkStart w:id="1" w:name="_Hlk115781827"/>
      <w:r>
        <w:t>Associate Professors must successfully complete the third-year progress review to receive the fourth-year teaching release.</w:t>
      </w:r>
      <w:bookmarkEnd w:id="1"/>
    </w:p>
    <w:p w14:paraId="057D3FC7" w14:textId="77777777" w:rsidR="007C2997" w:rsidRPr="00907EE6" w:rsidRDefault="007C2997" w:rsidP="00907EE6">
      <w:pPr>
        <w:spacing w:after="0"/>
        <w:rPr>
          <w:rFonts w:cstheme="minorHAnsi"/>
        </w:rPr>
      </w:pPr>
    </w:p>
    <w:p w14:paraId="6964AC23" w14:textId="77777777" w:rsidR="00880333" w:rsidRPr="00880333" w:rsidRDefault="00880333" w:rsidP="00880333">
      <w:pPr>
        <w:spacing w:after="0"/>
        <w:rPr>
          <w:rFonts w:cstheme="minorHAnsi"/>
        </w:rPr>
      </w:pPr>
    </w:p>
    <w:p w14:paraId="3ACFF663" w14:textId="77777777" w:rsidR="00ED5ABB" w:rsidRPr="00ED5ABB" w:rsidRDefault="00ED5ABB" w:rsidP="0050121E">
      <w:pPr>
        <w:spacing w:after="0"/>
        <w:rPr>
          <w:rFonts w:cstheme="minorHAnsi"/>
        </w:rPr>
      </w:pPr>
    </w:p>
    <w:sectPr w:rsidR="00ED5ABB" w:rsidRPr="00ED5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curyDisplay-Roman">
    <w:altName w:val="Times New Roman"/>
    <w:charset w:val="00"/>
    <w:family w:val="roman"/>
    <w:pitch w:val="variable"/>
  </w:font>
  <w:font w:name="MercuryDisplay-Italic">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2199"/>
    <w:multiLevelType w:val="hybridMultilevel"/>
    <w:tmpl w:val="5D6C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46BBD"/>
    <w:multiLevelType w:val="hybridMultilevel"/>
    <w:tmpl w:val="1FFE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F7201"/>
    <w:multiLevelType w:val="multilevel"/>
    <w:tmpl w:val="A8A09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42DC5"/>
    <w:multiLevelType w:val="multilevel"/>
    <w:tmpl w:val="190C1FE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85606934">
    <w:abstractNumId w:val="2"/>
  </w:num>
  <w:num w:numId="2" w16cid:durableId="1280337702">
    <w:abstractNumId w:val="1"/>
  </w:num>
  <w:num w:numId="3" w16cid:durableId="2003654016">
    <w:abstractNumId w:val="0"/>
  </w:num>
  <w:num w:numId="4" w16cid:durableId="1030759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BB"/>
    <w:rsid w:val="00033D12"/>
    <w:rsid w:val="00201809"/>
    <w:rsid w:val="002C036B"/>
    <w:rsid w:val="003B6F43"/>
    <w:rsid w:val="0050121E"/>
    <w:rsid w:val="006604B2"/>
    <w:rsid w:val="00734310"/>
    <w:rsid w:val="007C2997"/>
    <w:rsid w:val="00815FD6"/>
    <w:rsid w:val="00880333"/>
    <w:rsid w:val="00907EE6"/>
    <w:rsid w:val="00A356DD"/>
    <w:rsid w:val="00AF265F"/>
    <w:rsid w:val="00B10B18"/>
    <w:rsid w:val="00B85751"/>
    <w:rsid w:val="00BA535E"/>
    <w:rsid w:val="00CF2EF2"/>
    <w:rsid w:val="00D8634F"/>
    <w:rsid w:val="00D8772C"/>
    <w:rsid w:val="00DE540B"/>
    <w:rsid w:val="00ED5ABB"/>
    <w:rsid w:val="00FA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9D6D"/>
  <w15:chartTrackingRefBased/>
  <w15:docId w15:val="{27E94AAB-E8F3-470F-A3A5-B4D457CF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A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5ABB"/>
    <w:rPr>
      <w:color w:val="0563C1" w:themeColor="hyperlink"/>
      <w:u w:val="single"/>
    </w:rPr>
  </w:style>
  <w:style w:type="character" w:styleId="UnresolvedMention">
    <w:name w:val="Unresolved Mention"/>
    <w:basedOn w:val="DefaultParagraphFont"/>
    <w:uiPriority w:val="99"/>
    <w:semiHidden/>
    <w:unhideWhenUsed/>
    <w:rsid w:val="00ED5ABB"/>
    <w:rPr>
      <w:color w:val="605E5C"/>
      <w:shd w:val="clear" w:color="auto" w:fill="E1DFDD"/>
    </w:rPr>
  </w:style>
  <w:style w:type="paragraph" w:styleId="ListParagraph">
    <w:name w:val="List Paragraph"/>
    <w:basedOn w:val="Normal"/>
    <w:uiPriority w:val="34"/>
    <w:qFormat/>
    <w:rsid w:val="0050121E"/>
    <w:pPr>
      <w:ind w:left="720"/>
      <w:contextualSpacing/>
    </w:pPr>
  </w:style>
  <w:style w:type="character" w:styleId="FollowedHyperlink">
    <w:name w:val="FollowedHyperlink"/>
    <w:basedOn w:val="DefaultParagraphFont"/>
    <w:uiPriority w:val="99"/>
    <w:semiHidden/>
    <w:unhideWhenUsed/>
    <w:rsid w:val="00815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25425">
      <w:bodyDiv w:val="1"/>
      <w:marLeft w:val="0"/>
      <w:marRight w:val="0"/>
      <w:marTop w:val="0"/>
      <w:marBottom w:val="0"/>
      <w:divBdr>
        <w:top w:val="none" w:sz="0" w:space="0" w:color="auto"/>
        <w:left w:val="none" w:sz="0" w:space="0" w:color="auto"/>
        <w:bottom w:val="none" w:sz="0" w:space="0" w:color="auto"/>
        <w:right w:val="none" w:sz="0" w:space="0" w:color="auto"/>
      </w:divBdr>
      <w:divsChild>
        <w:div w:id="1534996403">
          <w:marLeft w:val="0"/>
          <w:marRight w:val="0"/>
          <w:marTop w:val="0"/>
          <w:marBottom w:val="0"/>
          <w:divBdr>
            <w:top w:val="none" w:sz="0" w:space="0" w:color="auto"/>
            <w:left w:val="none" w:sz="0" w:space="0" w:color="auto"/>
            <w:bottom w:val="none" w:sz="0" w:space="0" w:color="auto"/>
            <w:right w:val="none" w:sz="0" w:space="0" w:color="auto"/>
          </w:divBdr>
          <w:divsChild>
            <w:div w:id="568228672">
              <w:marLeft w:val="75"/>
              <w:marRight w:val="0"/>
              <w:marTop w:val="0"/>
              <w:marBottom w:val="0"/>
              <w:divBdr>
                <w:top w:val="none" w:sz="0" w:space="0" w:color="auto"/>
                <w:left w:val="none" w:sz="0" w:space="0" w:color="auto"/>
                <w:bottom w:val="none" w:sz="0" w:space="0" w:color="auto"/>
                <w:right w:val="none" w:sz="0" w:space="0" w:color="auto"/>
              </w:divBdr>
            </w:div>
            <w:div w:id="2129931257">
              <w:marLeft w:val="75"/>
              <w:marRight w:val="0"/>
              <w:marTop w:val="0"/>
              <w:marBottom w:val="0"/>
              <w:divBdr>
                <w:top w:val="none" w:sz="0" w:space="0" w:color="auto"/>
                <w:left w:val="none" w:sz="0" w:space="0" w:color="auto"/>
                <w:bottom w:val="none" w:sz="0" w:space="0" w:color="auto"/>
                <w:right w:val="none" w:sz="0" w:space="0" w:color="auto"/>
              </w:divBdr>
            </w:div>
            <w:div w:id="70346922">
              <w:marLeft w:val="75"/>
              <w:marRight w:val="0"/>
              <w:marTop w:val="0"/>
              <w:marBottom w:val="0"/>
              <w:divBdr>
                <w:top w:val="none" w:sz="0" w:space="0" w:color="auto"/>
                <w:left w:val="none" w:sz="0" w:space="0" w:color="auto"/>
                <w:bottom w:val="none" w:sz="0" w:space="0" w:color="auto"/>
                <w:right w:val="none" w:sz="0" w:space="0" w:color="auto"/>
              </w:divBdr>
            </w:div>
          </w:divsChild>
        </w:div>
        <w:div w:id="746924562">
          <w:marLeft w:val="0"/>
          <w:marRight w:val="0"/>
          <w:marTop w:val="0"/>
          <w:marBottom w:val="0"/>
          <w:divBdr>
            <w:top w:val="none" w:sz="0" w:space="0" w:color="auto"/>
            <w:left w:val="none" w:sz="0" w:space="0" w:color="auto"/>
            <w:bottom w:val="none" w:sz="0" w:space="0" w:color="auto"/>
            <w:right w:val="none" w:sz="0" w:space="0" w:color="auto"/>
          </w:divBdr>
          <w:divsChild>
            <w:div w:id="932517023">
              <w:marLeft w:val="0"/>
              <w:marRight w:val="0"/>
              <w:marTop w:val="0"/>
              <w:marBottom w:val="0"/>
              <w:divBdr>
                <w:top w:val="none" w:sz="0" w:space="0" w:color="auto"/>
                <w:left w:val="none" w:sz="0" w:space="0" w:color="auto"/>
                <w:bottom w:val="none" w:sz="0" w:space="0" w:color="auto"/>
                <w:right w:val="none" w:sz="0" w:space="0" w:color="auto"/>
              </w:divBdr>
              <w:divsChild>
                <w:div w:id="649401941">
                  <w:marLeft w:val="0"/>
                  <w:marRight w:val="0"/>
                  <w:marTop w:val="0"/>
                  <w:marBottom w:val="0"/>
                  <w:divBdr>
                    <w:top w:val="none" w:sz="0" w:space="0" w:color="auto"/>
                    <w:left w:val="none" w:sz="0" w:space="0" w:color="auto"/>
                    <w:bottom w:val="none" w:sz="0" w:space="0" w:color="auto"/>
                    <w:right w:val="none" w:sz="0" w:space="0" w:color="auto"/>
                  </w:divBdr>
                  <w:divsChild>
                    <w:div w:id="658852240">
                      <w:marLeft w:val="0"/>
                      <w:marRight w:val="0"/>
                      <w:marTop w:val="0"/>
                      <w:marBottom w:val="0"/>
                      <w:divBdr>
                        <w:top w:val="none" w:sz="0" w:space="0" w:color="auto"/>
                        <w:left w:val="none" w:sz="0" w:space="0" w:color="auto"/>
                        <w:bottom w:val="none" w:sz="0" w:space="0" w:color="auto"/>
                        <w:right w:val="none" w:sz="0" w:space="0" w:color="auto"/>
                      </w:divBdr>
                      <w:divsChild>
                        <w:div w:id="819494695">
                          <w:marLeft w:val="0"/>
                          <w:marRight w:val="0"/>
                          <w:marTop w:val="0"/>
                          <w:marBottom w:val="0"/>
                          <w:divBdr>
                            <w:top w:val="none" w:sz="0" w:space="0" w:color="auto"/>
                            <w:left w:val="none" w:sz="0" w:space="0" w:color="auto"/>
                            <w:bottom w:val="none" w:sz="0" w:space="0" w:color="auto"/>
                            <w:right w:val="none" w:sz="0" w:space="0" w:color="auto"/>
                          </w:divBdr>
                          <w:divsChild>
                            <w:div w:id="600455934">
                              <w:marLeft w:val="0"/>
                              <w:marRight w:val="0"/>
                              <w:marTop w:val="0"/>
                              <w:marBottom w:val="0"/>
                              <w:divBdr>
                                <w:top w:val="none" w:sz="0" w:space="0" w:color="auto"/>
                                <w:left w:val="none" w:sz="0" w:space="0" w:color="auto"/>
                                <w:bottom w:val="none" w:sz="0" w:space="0" w:color="auto"/>
                                <w:right w:val="none" w:sz="0" w:space="0" w:color="auto"/>
                              </w:divBdr>
                              <w:divsChild>
                                <w:div w:id="885413968">
                                  <w:marLeft w:val="0"/>
                                  <w:marRight w:val="0"/>
                                  <w:marTop w:val="0"/>
                                  <w:marBottom w:val="0"/>
                                  <w:divBdr>
                                    <w:top w:val="none" w:sz="0" w:space="0" w:color="auto"/>
                                    <w:left w:val="none" w:sz="0" w:space="0" w:color="auto"/>
                                    <w:bottom w:val="none" w:sz="0" w:space="0" w:color="auto"/>
                                    <w:right w:val="none" w:sz="0" w:space="0" w:color="auto"/>
                                  </w:divBdr>
                                  <w:divsChild>
                                    <w:div w:id="1868907653">
                                      <w:marLeft w:val="0"/>
                                      <w:marRight w:val="0"/>
                                      <w:marTop w:val="0"/>
                                      <w:marBottom w:val="0"/>
                                      <w:divBdr>
                                        <w:top w:val="none" w:sz="0" w:space="0" w:color="auto"/>
                                        <w:left w:val="none" w:sz="0" w:space="0" w:color="auto"/>
                                        <w:bottom w:val="none" w:sz="0" w:space="0" w:color="auto"/>
                                        <w:right w:val="none" w:sz="0" w:space="0" w:color="auto"/>
                                      </w:divBdr>
                                      <w:divsChild>
                                        <w:div w:id="1574311066">
                                          <w:marLeft w:val="0"/>
                                          <w:marRight w:val="0"/>
                                          <w:marTop w:val="0"/>
                                          <w:marBottom w:val="0"/>
                                          <w:divBdr>
                                            <w:top w:val="none" w:sz="0" w:space="0" w:color="auto"/>
                                            <w:left w:val="none" w:sz="0" w:space="0" w:color="auto"/>
                                            <w:bottom w:val="none" w:sz="0" w:space="0" w:color="auto"/>
                                            <w:right w:val="none" w:sz="0" w:space="0" w:color="auto"/>
                                          </w:divBdr>
                                          <w:divsChild>
                                            <w:div w:id="401295808">
                                              <w:marLeft w:val="0"/>
                                              <w:marRight w:val="0"/>
                                              <w:marTop w:val="0"/>
                                              <w:marBottom w:val="0"/>
                                              <w:divBdr>
                                                <w:top w:val="none" w:sz="0" w:space="0" w:color="auto"/>
                                                <w:left w:val="none" w:sz="0" w:space="0" w:color="auto"/>
                                                <w:bottom w:val="none" w:sz="0" w:space="0" w:color="auto"/>
                                                <w:right w:val="none" w:sz="0" w:space="0" w:color="auto"/>
                                              </w:divBdr>
                                              <w:divsChild>
                                                <w:div w:id="995766673">
                                                  <w:marLeft w:val="0"/>
                                                  <w:marRight w:val="0"/>
                                                  <w:marTop w:val="0"/>
                                                  <w:marBottom w:val="0"/>
                                                  <w:divBdr>
                                                    <w:top w:val="none" w:sz="0" w:space="0" w:color="auto"/>
                                                    <w:left w:val="none" w:sz="0" w:space="0" w:color="auto"/>
                                                    <w:bottom w:val="none" w:sz="0" w:space="0" w:color="auto"/>
                                                    <w:right w:val="none" w:sz="0" w:space="0" w:color="auto"/>
                                                  </w:divBdr>
                                                  <w:divsChild>
                                                    <w:div w:id="21071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180213">
      <w:bodyDiv w:val="1"/>
      <w:marLeft w:val="0"/>
      <w:marRight w:val="0"/>
      <w:marTop w:val="0"/>
      <w:marBottom w:val="0"/>
      <w:divBdr>
        <w:top w:val="none" w:sz="0" w:space="0" w:color="auto"/>
        <w:left w:val="none" w:sz="0" w:space="0" w:color="auto"/>
        <w:bottom w:val="none" w:sz="0" w:space="0" w:color="auto"/>
        <w:right w:val="none" w:sz="0" w:space="0" w:color="auto"/>
      </w:divBdr>
    </w:div>
    <w:div w:id="1809081269">
      <w:bodyDiv w:val="1"/>
      <w:marLeft w:val="0"/>
      <w:marRight w:val="0"/>
      <w:marTop w:val="0"/>
      <w:marBottom w:val="0"/>
      <w:divBdr>
        <w:top w:val="none" w:sz="0" w:space="0" w:color="auto"/>
        <w:left w:val="none" w:sz="0" w:space="0" w:color="auto"/>
        <w:bottom w:val="none" w:sz="0" w:space="0" w:color="auto"/>
        <w:right w:val="none" w:sz="0" w:space="0" w:color="auto"/>
      </w:divBdr>
      <w:divsChild>
        <w:div w:id="1017585215">
          <w:marLeft w:val="0"/>
          <w:marRight w:val="0"/>
          <w:marTop w:val="0"/>
          <w:marBottom w:val="0"/>
          <w:divBdr>
            <w:top w:val="none" w:sz="0" w:space="0" w:color="auto"/>
            <w:left w:val="none" w:sz="0" w:space="0" w:color="auto"/>
            <w:bottom w:val="none" w:sz="0" w:space="0" w:color="auto"/>
            <w:right w:val="none" w:sz="0" w:space="0" w:color="auto"/>
          </w:divBdr>
          <w:divsChild>
            <w:div w:id="1137839602">
              <w:marLeft w:val="75"/>
              <w:marRight w:val="0"/>
              <w:marTop w:val="0"/>
              <w:marBottom w:val="0"/>
              <w:divBdr>
                <w:top w:val="none" w:sz="0" w:space="0" w:color="auto"/>
                <w:left w:val="none" w:sz="0" w:space="0" w:color="auto"/>
                <w:bottom w:val="none" w:sz="0" w:space="0" w:color="auto"/>
                <w:right w:val="none" w:sz="0" w:space="0" w:color="auto"/>
              </w:divBdr>
            </w:div>
            <w:div w:id="2093694579">
              <w:marLeft w:val="75"/>
              <w:marRight w:val="0"/>
              <w:marTop w:val="0"/>
              <w:marBottom w:val="0"/>
              <w:divBdr>
                <w:top w:val="none" w:sz="0" w:space="0" w:color="auto"/>
                <w:left w:val="none" w:sz="0" w:space="0" w:color="auto"/>
                <w:bottom w:val="none" w:sz="0" w:space="0" w:color="auto"/>
                <w:right w:val="none" w:sz="0" w:space="0" w:color="auto"/>
              </w:divBdr>
            </w:div>
            <w:div w:id="1587838025">
              <w:marLeft w:val="75"/>
              <w:marRight w:val="0"/>
              <w:marTop w:val="0"/>
              <w:marBottom w:val="0"/>
              <w:divBdr>
                <w:top w:val="none" w:sz="0" w:space="0" w:color="auto"/>
                <w:left w:val="none" w:sz="0" w:space="0" w:color="auto"/>
                <w:bottom w:val="none" w:sz="0" w:space="0" w:color="auto"/>
                <w:right w:val="none" w:sz="0" w:space="0" w:color="auto"/>
              </w:divBdr>
            </w:div>
          </w:divsChild>
        </w:div>
        <w:div w:id="1647080719">
          <w:marLeft w:val="0"/>
          <w:marRight w:val="0"/>
          <w:marTop w:val="0"/>
          <w:marBottom w:val="0"/>
          <w:divBdr>
            <w:top w:val="none" w:sz="0" w:space="0" w:color="auto"/>
            <w:left w:val="none" w:sz="0" w:space="0" w:color="auto"/>
            <w:bottom w:val="none" w:sz="0" w:space="0" w:color="auto"/>
            <w:right w:val="none" w:sz="0" w:space="0" w:color="auto"/>
          </w:divBdr>
          <w:divsChild>
            <w:div w:id="1914196306">
              <w:marLeft w:val="0"/>
              <w:marRight w:val="0"/>
              <w:marTop w:val="0"/>
              <w:marBottom w:val="0"/>
              <w:divBdr>
                <w:top w:val="none" w:sz="0" w:space="0" w:color="auto"/>
                <w:left w:val="none" w:sz="0" w:space="0" w:color="auto"/>
                <w:bottom w:val="none" w:sz="0" w:space="0" w:color="auto"/>
                <w:right w:val="none" w:sz="0" w:space="0" w:color="auto"/>
              </w:divBdr>
              <w:divsChild>
                <w:div w:id="1520973327">
                  <w:marLeft w:val="0"/>
                  <w:marRight w:val="0"/>
                  <w:marTop w:val="0"/>
                  <w:marBottom w:val="0"/>
                  <w:divBdr>
                    <w:top w:val="none" w:sz="0" w:space="0" w:color="auto"/>
                    <w:left w:val="none" w:sz="0" w:space="0" w:color="auto"/>
                    <w:bottom w:val="none" w:sz="0" w:space="0" w:color="auto"/>
                    <w:right w:val="none" w:sz="0" w:space="0" w:color="auto"/>
                  </w:divBdr>
                  <w:divsChild>
                    <w:div w:id="335887363">
                      <w:marLeft w:val="0"/>
                      <w:marRight w:val="0"/>
                      <w:marTop w:val="0"/>
                      <w:marBottom w:val="0"/>
                      <w:divBdr>
                        <w:top w:val="none" w:sz="0" w:space="0" w:color="auto"/>
                        <w:left w:val="none" w:sz="0" w:space="0" w:color="auto"/>
                        <w:bottom w:val="none" w:sz="0" w:space="0" w:color="auto"/>
                        <w:right w:val="none" w:sz="0" w:space="0" w:color="auto"/>
                      </w:divBdr>
                      <w:divsChild>
                        <w:div w:id="1806654231">
                          <w:marLeft w:val="0"/>
                          <w:marRight w:val="0"/>
                          <w:marTop w:val="0"/>
                          <w:marBottom w:val="0"/>
                          <w:divBdr>
                            <w:top w:val="none" w:sz="0" w:space="0" w:color="auto"/>
                            <w:left w:val="none" w:sz="0" w:space="0" w:color="auto"/>
                            <w:bottom w:val="none" w:sz="0" w:space="0" w:color="auto"/>
                            <w:right w:val="none" w:sz="0" w:space="0" w:color="auto"/>
                          </w:divBdr>
                          <w:divsChild>
                            <w:div w:id="1343703231">
                              <w:marLeft w:val="0"/>
                              <w:marRight w:val="0"/>
                              <w:marTop w:val="0"/>
                              <w:marBottom w:val="0"/>
                              <w:divBdr>
                                <w:top w:val="none" w:sz="0" w:space="0" w:color="auto"/>
                                <w:left w:val="none" w:sz="0" w:space="0" w:color="auto"/>
                                <w:bottom w:val="none" w:sz="0" w:space="0" w:color="auto"/>
                                <w:right w:val="none" w:sz="0" w:space="0" w:color="auto"/>
                              </w:divBdr>
                              <w:divsChild>
                                <w:div w:id="287396888">
                                  <w:marLeft w:val="0"/>
                                  <w:marRight w:val="0"/>
                                  <w:marTop w:val="0"/>
                                  <w:marBottom w:val="0"/>
                                  <w:divBdr>
                                    <w:top w:val="none" w:sz="0" w:space="0" w:color="auto"/>
                                    <w:left w:val="none" w:sz="0" w:space="0" w:color="auto"/>
                                    <w:bottom w:val="none" w:sz="0" w:space="0" w:color="auto"/>
                                    <w:right w:val="none" w:sz="0" w:space="0" w:color="auto"/>
                                  </w:divBdr>
                                  <w:divsChild>
                                    <w:div w:id="936213553">
                                      <w:marLeft w:val="0"/>
                                      <w:marRight w:val="0"/>
                                      <w:marTop w:val="0"/>
                                      <w:marBottom w:val="0"/>
                                      <w:divBdr>
                                        <w:top w:val="none" w:sz="0" w:space="0" w:color="auto"/>
                                        <w:left w:val="none" w:sz="0" w:space="0" w:color="auto"/>
                                        <w:bottom w:val="none" w:sz="0" w:space="0" w:color="auto"/>
                                        <w:right w:val="none" w:sz="0" w:space="0" w:color="auto"/>
                                      </w:divBdr>
                                      <w:divsChild>
                                        <w:div w:id="1129013336">
                                          <w:marLeft w:val="0"/>
                                          <w:marRight w:val="0"/>
                                          <w:marTop w:val="0"/>
                                          <w:marBottom w:val="0"/>
                                          <w:divBdr>
                                            <w:top w:val="none" w:sz="0" w:space="0" w:color="auto"/>
                                            <w:left w:val="none" w:sz="0" w:space="0" w:color="auto"/>
                                            <w:bottom w:val="none" w:sz="0" w:space="0" w:color="auto"/>
                                            <w:right w:val="none" w:sz="0" w:space="0" w:color="auto"/>
                                          </w:divBdr>
                                          <w:divsChild>
                                            <w:div w:id="61755386">
                                              <w:marLeft w:val="0"/>
                                              <w:marRight w:val="0"/>
                                              <w:marTop w:val="0"/>
                                              <w:marBottom w:val="0"/>
                                              <w:divBdr>
                                                <w:top w:val="none" w:sz="0" w:space="0" w:color="auto"/>
                                                <w:left w:val="none" w:sz="0" w:space="0" w:color="auto"/>
                                                <w:bottom w:val="none" w:sz="0" w:space="0" w:color="auto"/>
                                                <w:right w:val="none" w:sz="0" w:space="0" w:color="auto"/>
                                              </w:divBdr>
                                              <w:divsChild>
                                                <w:div w:id="1023901678">
                                                  <w:marLeft w:val="0"/>
                                                  <w:marRight w:val="0"/>
                                                  <w:marTop w:val="0"/>
                                                  <w:marBottom w:val="0"/>
                                                  <w:divBdr>
                                                    <w:top w:val="none" w:sz="0" w:space="0" w:color="auto"/>
                                                    <w:left w:val="none" w:sz="0" w:space="0" w:color="auto"/>
                                                    <w:bottom w:val="none" w:sz="0" w:space="0" w:color="auto"/>
                                                    <w:right w:val="none" w:sz="0" w:space="0" w:color="auto"/>
                                                  </w:divBdr>
                                                  <w:divsChild>
                                                    <w:div w:id="14651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y.edu/regs/sites/www.uky.edu.regs/files/files/ar/ar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as.uky.edu/course-buyou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Sarah M.</dc:creator>
  <cp:keywords/>
  <dc:description/>
  <cp:lastModifiedBy>Lyon, Sarah M.</cp:lastModifiedBy>
  <cp:revision>2</cp:revision>
  <cp:lastPrinted>2022-10-04T12:52:00Z</cp:lastPrinted>
  <dcterms:created xsi:type="dcterms:W3CDTF">2022-10-14T18:36:00Z</dcterms:created>
  <dcterms:modified xsi:type="dcterms:W3CDTF">2022-10-14T18:36:00Z</dcterms:modified>
</cp:coreProperties>
</file>